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88CB3" w14:textId="77777777" w:rsidR="00BD4457" w:rsidRPr="002866D4" w:rsidRDefault="007E7958" w:rsidP="002866D4">
      <w:pPr>
        <w:pStyle w:val="Authors"/>
        <w:jc w:val="left"/>
        <w:rPr>
          <w:rFonts w:ascii="Times New Roman" w:hAnsi="Times New Roman"/>
          <w:b/>
          <w:noProof w:val="0"/>
          <w:sz w:val="24"/>
          <w:lang w:val="en-US"/>
        </w:rPr>
      </w:pPr>
      <w:r w:rsidRPr="002866D4">
        <w:rPr>
          <w:rFonts w:ascii="Times New Roman" w:eastAsia="Times New Roman" w:hAnsi="Times New Roman"/>
          <w:b/>
          <w:noProof w:val="0"/>
          <w:kern w:val="0"/>
          <w:sz w:val="24"/>
          <w:lang w:val="en-US"/>
        </w:rPr>
        <w:t xml:space="preserve">A </w:t>
      </w:r>
      <w:r w:rsidR="005A38F5" w:rsidRPr="002866D4">
        <w:rPr>
          <w:rFonts w:ascii="Times New Roman" w:eastAsia="Times New Roman" w:hAnsi="Times New Roman"/>
          <w:b/>
          <w:noProof w:val="0"/>
          <w:kern w:val="0"/>
          <w:sz w:val="24"/>
          <w:lang w:val="en-US"/>
        </w:rPr>
        <w:t xml:space="preserve">Factor of 2-4 Improvement in Marine Gravity From </w:t>
      </w:r>
      <w:proofErr w:type="spellStart"/>
      <w:r w:rsidR="00DA6FFB" w:rsidRPr="002866D4">
        <w:rPr>
          <w:rFonts w:ascii="Times New Roman" w:eastAsia="Times New Roman" w:hAnsi="Times New Roman"/>
          <w:b/>
          <w:noProof w:val="0"/>
          <w:kern w:val="0"/>
          <w:sz w:val="24"/>
          <w:lang w:val="en-US"/>
        </w:rPr>
        <w:t>CryoSat</w:t>
      </w:r>
      <w:proofErr w:type="spellEnd"/>
      <w:r w:rsidR="00DA6FFB" w:rsidRPr="002866D4">
        <w:rPr>
          <w:rFonts w:ascii="Times New Roman" w:eastAsia="Times New Roman" w:hAnsi="Times New Roman"/>
          <w:b/>
          <w:noProof w:val="0"/>
          <w:kern w:val="0"/>
          <w:sz w:val="24"/>
          <w:lang w:val="en-US"/>
        </w:rPr>
        <w:t xml:space="preserve">, </w:t>
      </w:r>
      <w:proofErr w:type="spellStart"/>
      <w:r w:rsidR="00DA6FFB" w:rsidRPr="002866D4">
        <w:rPr>
          <w:rFonts w:ascii="Times New Roman" w:eastAsia="Times New Roman" w:hAnsi="Times New Roman"/>
          <w:b/>
          <w:noProof w:val="0"/>
          <w:kern w:val="0"/>
          <w:sz w:val="24"/>
          <w:lang w:val="en-US"/>
        </w:rPr>
        <w:t>Envisat</w:t>
      </w:r>
      <w:proofErr w:type="spellEnd"/>
      <w:r w:rsidR="00DA6FFB" w:rsidRPr="002866D4">
        <w:rPr>
          <w:rFonts w:ascii="Times New Roman" w:eastAsia="Times New Roman" w:hAnsi="Times New Roman"/>
          <w:b/>
          <w:noProof w:val="0"/>
          <w:kern w:val="0"/>
          <w:sz w:val="24"/>
          <w:lang w:val="en-US"/>
        </w:rPr>
        <w:t>,</w:t>
      </w:r>
      <w:r w:rsidRPr="002866D4">
        <w:rPr>
          <w:rFonts w:ascii="Times New Roman" w:eastAsia="Times New Roman" w:hAnsi="Times New Roman"/>
          <w:b/>
          <w:noProof w:val="0"/>
          <w:kern w:val="0"/>
          <w:sz w:val="24"/>
          <w:lang w:val="en-US"/>
        </w:rPr>
        <w:t xml:space="preserve"> and Jason-1 Data</w:t>
      </w:r>
    </w:p>
    <w:p w14:paraId="367A5B89" w14:textId="77777777" w:rsidR="00BD4457" w:rsidRPr="002866D4" w:rsidRDefault="00BD4457" w:rsidP="00BD4457">
      <w:pPr>
        <w:pStyle w:val="Authors"/>
        <w:rPr>
          <w:noProof w:val="0"/>
          <w:sz w:val="24"/>
          <w:lang w:val="en-US"/>
        </w:rPr>
      </w:pPr>
    </w:p>
    <w:p w14:paraId="0F166C91" w14:textId="77777777" w:rsidR="00D77881" w:rsidRPr="002866D4" w:rsidRDefault="00D77881" w:rsidP="002F316E">
      <w:pPr>
        <w:pStyle w:val="Authors"/>
        <w:rPr>
          <w:rFonts w:ascii="Times New Roman" w:hAnsi="Times New Roman"/>
          <w:noProof w:val="0"/>
          <w:sz w:val="24"/>
          <w:lang w:val="en-US"/>
        </w:rPr>
      </w:pPr>
      <w:r w:rsidRPr="002866D4">
        <w:rPr>
          <w:rFonts w:eastAsia="Times"/>
          <w:noProof w:val="0"/>
          <w:sz w:val="24"/>
          <w:lang w:val="en-US"/>
        </w:rPr>
        <w:t>David T. Sandwell</w:t>
      </w:r>
    </w:p>
    <w:p w14:paraId="6A4FA953" w14:textId="77777777" w:rsidR="00D77881" w:rsidRPr="002866D4" w:rsidRDefault="00D77881" w:rsidP="008C556D">
      <w:pPr>
        <w:pStyle w:val="Authors"/>
        <w:outlineLvl w:val="0"/>
        <w:rPr>
          <w:rStyle w:val="AuthorsafiiliationChar"/>
          <w:rFonts w:ascii="Times New Roman" w:hAnsi="Times New Roman"/>
          <w:i w:val="0"/>
          <w:noProof w:val="0"/>
          <w:sz w:val="24"/>
          <w:lang w:val="en-US"/>
        </w:rPr>
      </w:pPr>
      <w:r w:rsidRPr="002866D4">
        <w:rPr>
          <w:rFonts w:ascii="Times New Roman" w:eastAsia="Times" w:hAnsi="Times New Roman"/>
          <w:i/>
          <w:noProof w:val="0"/>
          <w:sz w:val="24"/>
          <w:lang w:val="en-US"/>
        </w:rPr>
        <w:t>Scripps Institution of Oceanography, La Jolla, USA, dsandwell@ucsd.edu</w:t>
      </w:r>
    </w:p>
    <w:p w14:paraId="0D1FCD44" w14:textId="77777777" w:rsidR="00FE15C5" w:rsidRPr="002866D4" w:rsidRDefault="00FE15C5" w:rsidP="008C556D">
      <w:pPr>
        <w:pStyle w:val="Papertext"/>
        <w:jc w:val="center"/>
        <w:outlineLvl w:val="0"/>
        <w:rPr>
          <w:rFonts w:ascii="Times New Roman" w:hAnsi="Times New Roman"/>
          <w:b/>
          <w:noProof w:val="0"/>
          <w:sz w:val="24"/>
        </w:rPr>
      </w:pPr>
    </w:p>
    <w:p w14:paraId="304AA87B" w14:textId="4A075034" w:rsidR="00DA6FFB" w:rsidRPr="002866D4" w:rsidRDefault="00DA6FFB" w:rsidP="00DA6FFB">
      <w:pPr>
        <w:pStyle w:val="Papertext"/>
        <w:rPr>
          <w:rFonts w:ascii="Times" w:hAnsi="Times"/>
          <w:sz w:val="24"/>
        </w:rPr>
      </w:pPr>
      <w:r w:rsidRPr="002866D4">
        <w:rPr>
          <w:rFonts w:ascii="Times" w:hAnsi="Times"/>
          <w:sz w:val="24"/>
        </w:rPr>
        <w:t>Marine gravity anomalies derived from satellite radar altimetry provide an important tool for assessment of sedimentary basin structure on remote continental margins.  A wealth of new marine</w:t>
      </w:r>
      <w:r w:rsidR="00FE15C5" w:rsidRPr="002866D4">
        <w:rPr>
          <w:rFonts w:ascii="Times" w:hAnsi="Times"/>
          <w:sz w:val="24"/>
        </w:rPr>
        <w:t xml:space="preserve"> gravity data are being collected</w:t>
      </w:r>
      <w:r w:rsidRPr="002866D4">
        <w:rPr>
          <w:rFonts w:ascii="Times" w:hAnsi="Times"/>
          <w:sz w:val="24"/>
        </w:rPr>
        <w:t xml:space="preserve"> by three satellite a</w:t>
      </w:r>
      <w:r w:rsidR="002866D4" w:rsidRPr="002866D4">
        <w:rPr>
          <w:rFonts w:ascii="Times" w:hAnsi="Times"/>
          <w:sz w:val="24"/>
        </w:rPr>
        <w:t xml:space="preserve">ltimeters CryoSat, </w:t>
      </w:r>
      <w:r w:rsidRPr="002866D4">
        <w:rPr>
          <w:rFonts w:ascii="Times" w:hAnsi="Times"/>
          <w:sz w:val="24"/>
        </w:rPr>
        <w:t>Envisat</w:t>
      </w:r>
      <w:r w:rsidR="002866D4" w:rsidRPr="002866D4">
        <w:rPr>
          <w:rFonts w:ascii="Times" w:hAnsi="Times"/>
          <w:sz w:val="24"/>
        </w:rPr>
        <w:t>, and Jason-1</w:t>
      </w:r>
      <w:r w:rsidRPr="002866D4">
        <w:rPr>
          <w:rFonts w:ascii="Times" w:hAnsi="Times"/>
          <w:sz w:val="24"/>
        </w:rPr>
        <w:t xml:space="preserve">.  With careful processing of the data, in combination with data from past Geosat and ERS-1/GM altimeter missions, we are in the process of improving the accuracy of the global marine gravity field by at least a factor of two and in </w:t>
      </w:r>
      <w:r w:rsidR="00176017" w:rsidRPr="002866D4">
        <w:rPr>
          <w:rFonts w:ascii="Times" w:hAnsi="Times"/>
          <w:sz w:val="24"/>
        </w:rPr>
        <w:t xml:space="preserve">some areas such as the Arctic, </w:t>
      </w:r>
      <w:r w:rsidRPr="002866D4">
        <w:rPr>
          <w:rFonts w:ascii="Times" w:hAnsi="Times"/>
          <w:sz w:val="24"/>
        </w:rPr>
        <w:t>a factor o</w:t>
      </w:r>
      <w:r w:rsidR="00FE15C5" w:rsidRPr="002866D4">
        <w:rPr>
          <w:rFonts w:ascii="Times" w:hAnsi="Times"/>
          <w:sz w:val="24"/>
        </w:rPr>
        <w:t>f four.   This work is funded by</w:t>
      </w:r>
      <w:r w:rsidRPr="002866D4">
        <w:rPr>
          <w:rFonts w:ascii="Times" w:hAnsi="Times"/>
          <w:sz w:val="24"/>
        </w:rPr>
        <w:t xml:space="preserve"> ConocoPhillips</w:t>
      </w:r>
      <w:r w:rsidR="002866D4">
        <w:rPr>
          <w:rFonts w:ascii="Times" w:hAnsi="Times"/>
          <w:sz w:val="24"/>
        </w:rPr>
        <w:t xml:space="preserve"> (CO</w:t>
      </w:r>
      <w:r w:rsidR="00176017" w:rsidRPr="002866D4">
        <w:rPr>
          <w:rFonts w:ascii="Times" w:hAnsi="Times"/>
          <w:sz w:val="24"/>
        </w:rPr>
        <w:t>P)</w:t>
      </w:r>
      <w:r w:rsidRPr="002866D4">
        <w:rPr>
          <w:rFonts w:ascii="Times" w:hAnsi="Times"/>
          <w:sz w:val="24"/>
        </w:rPr>
        <w:t>, The National Science Foundation</w:t>
      </w:r>
      <w:r w:rsidR="00FE15C5" w:rsidRPr="002866D4">
        <w:rPr>
          <w:rFonts w:ascii="Times" w:hAnsi="Times"/>
          <w:sz w:val="24"/>
        </w:rPr>
        <w:t xml:space="preserve"> (NSF)</w:t>
      </w:r>
      <w:r w:rsidRPr="002866D4">
        <w:rPr>
          <w:rFonts w:ascii="Times" w:hAnsi="Times"/>
          <w:sz w:val="24"/>
        </w:rPr>
        <w:t>, and the Office of Naval Research</w:t>
      </w:r>
      <w:r w:rsidR="00FE15C5" w:rsidRPr="002866D4">
        <w:rPr>
          <w:rFonts w:ascii="Times" w:hAnsi="Times"/>
          <w:sz w:val="24"/>
        </w:rPr>
        <w:t xml:space="preserve"> (ONR)</w:t>
      </w:r>
      <w:r w:rsidR="002866D4">
        <w:rPr>
          <w:rFonts w:ascii="Times" w:hAnsi="Times"/>
          <w:sz w:val="24"/>
        </w:rPr>
        <w:t>.  During this visit to CO</w:t>
      </w:r>
      <w:r w:rsidR="00176017" w:rsidRPr="002866D4">
        <w:rPr>
          <w:rFonts w:ascii="Times" w:hAnsi="Times"/>
          <w:sz w:val="24"/>
        </w:rPr>
        <w:t>P in June 2012, we will deliver a new preliminary global gravity grid having an accuracy of better than 2 mGal in the Gulf of Mexico and somewhat lower accuracy in Arctic areas where the</w:t>
      </w:r>
      <w:r w:rsidR="002866D4">
        <w:rPr>
          <w:rFonts w:ascii="Times" w:hAnsi="Times"/>
          <w:sz w:val="24"/>
        </w:rPr>
        <w:t>re is seasonal ice coverage.  CO</w:t>
      </w:r>
      <w:r w:rsidR="00176017" w:rsidRPr="002866D4">
        <w:rPr>
          <w:rFonts w:ascii="Times" w:hAnsi="Times"/>
          <w:sz w:val="24"/>
        </w:rPr>
        <w:t>P</w:t>
      </w:r>
      <w:r w:rsidR="00045B65">
        <w:rPr>
          <w:rFonts w:ascii="Times" w:hAnsi="Times"/>
          <w:sz w:val="24"/>
        </w:rPr>
        <w:t xml:space="preserve"> has access to these products 6 to </w:t>
      </w:r>
      <w:r w:rsidR="00176017" w:rsidRPr="002866D4">
        <w:rPr>
          <w:rFonts w:ascii="Times" w:hAnsi="Times"/>
          <w:sz w:val="24"/>
        </w:rPr>
        <w:t xml:space="preserve">9 months prior to their publication.  </w:t>
      </w:r>
      <w:r w:rsidR="00FE15C5" w:rsidRPr="002866D4">
        <w:rPr>
          <w:rFonts w:ascii="Times" w:hAnsi="Times"/>
          <w:sz w:val="24"/>
        </w:rPr>
        <w:t xml:space="preserve"> We encourage a blind assessment of the accuracy of these data using proprietar</w:t>
      </w:r>
      <w:r w:rsidR="002866D4">
        <w:rPr>
          <w:rFonts w:ascii="Times" w:hAnsi="Times"/>
          <w:sz w:val="24"/>
        </w:rPr>
        <w:t>y shipboard data available at CO</w:t>
      </w:r>
      <w:r w:rsidR="00FE15C5" w:rsidRPr="002866D4">
        <w:rPr>
          <w:rFonts w:ascii="Times" w:hAnsi="Times"/>
          <w:sz w:val="24"/>
        </w:rPr>
        <w:t>P and welcome feedback on regions of the world to</w:t>
      </w:r>
      <w:r w:rsidR="00A233D8" w:rsidRPr="002866D4">
        <w:rPr>
          <w:rFonts w:ascii="Times" w:hAnsi="Times"/>
          <w:sz w:val="24"/>
        </w:rPr>
        <w:t xml:space="preserve"> </w:t>
      </w:r>
      <w:r w:rsidR="00FE15C5" w:rsidRPr="002866D4">
        <w:rPr>
          <w:rFonts w:ascii="Times" w:hAnsi="Times"/>
          <w:sz w:val="24"/>
        </w:rPr>
        <w:t>focus our analyses.</w:t>
      </w:r>
    </w:p>
    <w:p w14:paraId="3B2E3F24" w14:textId="77777777" w:rsidR="00DA6FFB" w:rsidRPr="002866D4" w:rsidRDefault="00DA6FFB" w:rsidP="00DA6FFB">
      <w:pPr>
        <w:pStyle w:val="Papertext"/>
        <w:rPr>
          <w:rFonts w:ascii="Times" w:eastAsia="Times New Roman" w:hAnsi="Times"/>
          <w:noProof w:val="0"/>
          <w:color w:val="000000"/>
          <w:sz w:val="24"/>
        </w:rPr>
      </w:pPr>
    </w:p>
    <w:p w14:paraId="7839145A" w14:textId="77777777" w:rsidR="00FE15C5" w:rsidRPr="002866D4" w:rsidRDefault="00FE15C5" w:rsidP="00DA6FFB">
      <w:pPr>
        <w:pStyle w:val="Papertext"/>
        <w:rPr>
          <w:rFonts w:ascii="Times" w:hAnsi="Times"/>
          <w:noProof w:val="0"/>
          <w:sz w:val="24"/>
        </w:rPr>
      </w:pPr>
      <w:r w:rsidRPr="002866D4">
        <w:rPr>
          <w:rFonts w:ascii="Times" w:hAnsi="Times"/>
          <w:noProof w:val="0"/>
          <w:color w:val="000000"/>
          <w:sz w:val="24"/>
        </w:rPr>
        <w:t>T</w:t>
      </w:r>
      <w:r w:rsidRPr="002866D4">
        <w:rPr>
          <w:rFonts w:ascii="Times" w:hAnsi="Times"/>
          <w:noProof w:val="0"/>
          <w:sz w:val="24"/>
        </w:rPr>
        <w:t xml:space="preserve">he accuracy of the global marine gravity field depends primarily on two factors - spatial track density and altimeter range precision.  Current models, having accuracies of 3-5 </w:t>
      </w:r>
      <w:proofErr w:type="spellStart"/>
      <w:r w:rsidRPr="002866D4">
        <w:rPr>
          <w:rFonts w:ascii="Times" w:hAnsi="Times"/>
          <w:noProof w:val="0"/>
          <w:sz w:val="24"/>
        </w:rPr>
        <w:t>milligals</w:t>
      </w:r>
      <w:proofErr w:type="spellEnd"/>
      <w:r w:rsidRPr="002866D4">
        <w:rPr>
          <w:rFonts w:ascii="Times" w:hAnsi="Times"/>
          <w:noProof w:val="0"/>
          <w:sz w:val="24"/>
        </w:rPr>
        <w:t xml:space="preserve"> (e.g., S&amp;S V18, DNSC08, GETECH), are based on the non-repeat data collected by </w:t>
      </w:r>
      <w:proofErr w:type="spellStart"/>
      <w:r w:rsidRPr="002866D4">
        <w:rPr>
          <w:rFonts w:ascii="Times" w:hAnsi="Times"/>
          <w:noProof w:val="0"/>
          <w:sz w:val="24"/>
        </w:rPr>
        <w:t>Geosat</w:t>
      </w:r>
      <w:proofErr w:type="spellEnd"/>
      <w:r w:rsidRPr="002866D4">
        <w:rPr>
          <w:rFonts w:ascii="Times" w:hAnsi="Times"/>
          <w:noProof w:val="0"/>
          <w:sz w:val="24"/>
        </w:rPr>
        <w:t xml:space="preserve"> (US Navy - 18 mo.) and ERS-1 (ESA - 12 mo.), which use altimeter technology from the 70’s and 80’s, respectively. The next major advance in mapping the marine gravity will come from new satellite altimeter measurements having dramatically improved spatial track density combined with improved range precision.  </w:t>
      </w:r>
    </w:p>
    <w:p w14:paraId="40CEBD74" w14:textId="77777777" w:rsidR="00FE15C5" w:rsidRPr="002866D4" w:rsidRDefault="00FE15C5" w:rsidP="00DA6FFB">
      <w:pPr>
        <w:pStyle w:val="Papertext"/>
        <w:rPr>
          <w:rFonts w:ascii="Times" w:hAnsi="Times"/>
          <w:noProof w:val="0"/>
          <w:sz w:val="24"/>
        </w:rPr>
      </w:pPr>
    </w:p>
    <w:p w14:paraId="44FD515A" w14:textId="77777777" w:rsidR="0009600C" w:rsidRPr="0009600C" w:rsidRDefault="0009600C" w:rsidP="00DA6FFB">
      <w:pPr>
        <w:pStyle w:val="Papertext"/>
        <w:rPr>
          <w:rFonts w:ascii="Times" w:eastAsia="Times New Roman" w:hAnsi="Times"/>
          <w:i/>
          <w:noProof w:val="0"/>
          <w:color w:val="000000"/>
          <w:sz w:val="24"/>
        </w:rPr>
      </w:pPr>
      <w:r w:rsidRPr="0009600C">
        <w:rPr>
          <w:rFonts w:ascii="Times" w:eastAsia="Times New Roman" w:hAnsi="Times"/>
          <w:i/>
          <w:noProof w:val="0"/>
          <w:color w:val="000000"/>
          <w:sz w:val="24"/>
        </w:rPr>
        <w:t>Track Density</w:t>
      </w:r>
    </w:p>
    <w:p w14:paraId="1589FBA9" w14:textId="7E620E22" w:rsidR="005E5ECC" w:rsidRPr="002866D4" w:rsidRDefault="00081078" w:rsidP="00DA6FFB">
      <w:pPr>
        <w:pStyle w:val="Papertext"/>
        <w:rPr>
          <w:rFonts w:ascii="Times" w:eastAsia="Times New Roman" w:hAnsi="Times"/>
          <w:noProof w:val="0"/>
          <w:sz w:val="24"/>
        </w:rPr>
      </w:pPr>
      <w:r w:rsidRPr="002866D4">
        <w:rPr>
          <w:rFonts w:ascii="Times" w:eastAsia="Times New Roman" w:hAnsi="Times"/>
          <w:noProof w:val="0"/>
          <w:color w:val="000000"/>
          <w:sz w:val="24"/>
        </w:rPr>
        <w:t xml:space="preserve">Recently three </w:t>
      </w:r>
      <w:r w:rsidRPr="002866D4">
        <w:rPr>
          <w:rFonts w:ascii="Times" w:eastAsia="Times New Roman" w:hAnsi="Times"/>
          <w:noProof w:val="0"/>
          <w:sz w:val="24"/>
        </w:rPr>
        <w:t xml:space="preserve">new non-repeat altimeter data sets </w:t>
      </w:r>
      <w:r w:rsidR="0009600C">
        <w:rPr>
          <w:rFonts w:ascii="Times" w:eastAsia="Times New Roman" w:hAnsi="Times"/>
          <w:noProof w:val="0"/>
          <w:sz w:val="24"/>
        </w:rPr>
        <w:t xml:space="preserve">are becoming </w:t>
      </w:r>
      <w:r w:rsidRPr="002866D4">
        <w:rPr>
          <w:rFonts w:ascii="Times" w:eastAsia="Times New Roman" w:hAnsi="Times"/>
          <w:noProof w:val="0"/>
          <w:sz w:val="24"/>
        </w:rPr>
        <w:t xml:space="preserve">available.  </w:t>
      </w:r>
      <w:r w:rsidR="002866D4" w:rsidRPr="002866D4">
        <w:rPr>
          <w:rFonts w:ascii="Times" w:eastAsia="Times New Roman" w:hAnsi="Times"/>
          <w:noProof w:val="0"/>
          <w:sz w:val="24"/>
        </w:rPr>
        <w:t xml:space="preserve">(1) </w:t>
      </w:r>
      <w:proofErr w:type="spellStart"/>
      <w:r w:rsidRPr="002866D4">
        <w:rPr>
          <w:rFonts w:ascii="Times" w:eastAsia="Times New Roman" w:hAnsi="Times"/>
          <w:noProof w:val="0"/>
          <w:sz w:val="24"/>
        </w:rPr>
        <w:t>CryoSat</w:t>
      </w:r>
      <w:proofErr w:type="spellEnd"/>
      <w:r w:rsidRPr="002866D4">
        <w:rPr>
          <w:rFonts w:ascii="Times" w:eastAsia="Times New Roman" w:hAnsi="Times"/>
          <w:noProof w:val="0"/>
          <w:sz w:val="24"/>
        </w:rPr>
        <w:t xml:space="preserve"> h</w:t>
      </w:r>
      <w:r w:rsidR="002866D4" w:rsidRPr="002866D4">
        <w:rPr>
          <w:rFonts w:ascii="Times" w:eastAsia="Times New Roman" w:hAnsi="Times"/>
          <w:noProof w:val="0"/>
          <w:sz w:val="24"/>
        </w:rPr>
        <w:t>as been collecting data over</w:t>
      </w:r>
      <w:r w:rsidRPr="002866D4">
        <w:rPr>
          <w:rFonts w:ascii="Times" w:eastAsia="Times New Roman" w:hAnsi="Times"/>
          <w:noProof w:val="0"/>
          <w:sz w:val="24"/>
        </w:rPr>
        <w:t xml:space="preserve"> the world’s oceans for the past 2 years and should continue to operate for another 5 years.  While its main mission is to map the changing topography of the ice sheets it is also revolutionizing </w:t>
      </w:r>
      <w:r w:rsidR="00A233D8" w:rsidRPr="002866D4">
        <w:rPr>
          <w:rFonts w:ascii="Times" w:eastAsia="Times New Roman" w:hAnsi="Times"/>
          <w:noProof w:val="0"/>
          <w:sz w:val="24"/>
        </w:rPr>
        <w:t>our understanding of marine gravity</w:t>
      </w:r>
      <w:r w:rsidRPr="002866D4">
        <w:rPr>
          <w:rFonts w:ascii="Times" w:eastAsia="Times New Roman" w:hAnsi="Times"/>
          <w:noProof w:val="0"/>
          <w:sz w:val="24"/>
        </w:rPr>
        <w:t xml:space="preserve">.  We are part of the calibration and validation team at the European Space Agency to assess the quality of these data as noted in their recent press release </w:t>
      </w:r>
      <w:hyperlink r:id="rId6" w:history="1">
        <w:r w:rsidR="0009600C" w:rsidRPr="002F5828">
          <w:rPr>
            <w:rStyle w:val="Hyperlink"/>
            <w:rFonts w:ascii="Times" w:eastAsia="Times New Roman" w:hAnsi="Times"/>
            <w:noProof w:val="0"/>
            <w:sz w:val="24"/>
          </w:rPr>
          <w:t>http://www.esa.int/SPECIALS/Cryosat/SEM037ZWD2H_0.html</w:t>
        </w:r>
      </w:hyperlink>
      <w:proofErr w:type="gramStart"/>
      <w:r w:rsidR="0009600C">
        <w:rPr>
          <w:rFonts w:ascii="Times" w:eastAsia="Times New Roman" w:hAnsi="Times"/>
          <w:noProof w:val="0"/>
          <w:color w:val="000000" w:themeColor="text1"/>
          <w:sz w:val="24"/>
        </w:rPr>
        <w:t xml:space="preserve"> </w:t>
      </w:r>
      <w:r w:rsidR="005E5ECC" w:rsidRPr="002866D4">
        <w:rPr>
          <w:rFonts w:ascii="Times" w:eastAsia="Times New Roman" w:hAnsi="Times"/>
          <w:noProof w:val="0"/>
          <w:sz w:val="24"/>
        </w:rPr>
        <w:t>.</w:t>
      </w:r>
      <w:proofErr w:type="gramEnd"/>
      <w:r w:rsidR="005E5ECC" w:rsidRPr="002866D4">
        <w:rPr>
          <w:rFonts w:ascii="Times" w:eastAsia="Times New Roman" w:hAnsi="Times"/>
          <w:noProof w:val="0"/>
          <w:sz w:val="24"/>
        </w:rPr>
        <w:t xml:space="preserve"> </w:t>
      </w:r>
      <w:r w:rsidR="002866D4" w:rsidRPr="002866D4">
        <w:rPr>
          <w:rFonts w:ascii="Times" w:eastAsia="Times New Roman" w:hAnsi="Times"/>
          <w:noProof w:val="0"/>
          <w:sz w:val="24"/>
        </w:rPr>
        <w:t xml:space="preserve">(2) </w:t>
      </w:r>
      <w:r w:rsidR="005E5ECC" w:rsidRPr="002866D4">
        <w:rPr>
          <w:rFonts w:ascii="Times" w:eastAsia="Times New Roman" w:hAnsi="Times"/>
          <w:noProof w:val="0"/>
          <w:sz w:val="24"/>
        </w:rPr>
        <w:t xml:space="preserve">In October 2010, the </w:t>
      </w:r>
      <w:proofErr w:type="spellStart"/>
      <w:r w:rsidR="005E5ECC" w:rsidRPr="002866D4">
        <w:rPr>
          <w:rFonts w:ascii="Times" w:eastAsia="Times New Roman" w:hAnsi="Times"/>
          <w:noProof w:val="0"/>
          <w:sz w:val="24"/>
        </w:rPr>
        <w:t>Envis</w:t>
      </w:r>
      <w:r w:rsidR="00875ACD" w:rsidRPr="002866D4">
        <w:rPr>
          <w:rFonts w:ascii="Times" w:eastAsia="Times New Roman" w:hAnsi="Times"/>
          <w:noProof w:val="0"/>
          <w:sz w:val="24"/>
        </w:rPr>
        <w:t>at</w:t>
      </w:r>
      <w:proofErr w:type="spellEnd"/>
      <w:r w:rsidR="00875ACD" w:rsidRPr="002866D4">
        <w:rPr>
          <w:rFonts w:ascii="Times" w:eastAsia="Times New Roman" w:hAnsi="Times"/>
          <w:noProof w:val="0"/>
          <w:sz w:val="24"/>
        </w:rPr>
        <w:t xml:space="preserve"> radar altimeter </w:t>
      </w:r>
      <w:r w:rsidR="005E5ECC" w:rsidRPr="002866D4">
        <w:rPr>
          <w:rFonts w:ascii="Times" w:eastAsia="Times New Roman" w:hAnsi="Times"/>
          <w:noProof w:val="0"/>
          <w:sz w:val="24"/>
        </w:rPr>
        <w:t xml:space="preserve">was placed in a new partly drifting phase orbit to conserve fuel.  Although the spacecraft failed in April 2012, it was able to collect 1.5 years of data along this new ground track.  </w:t>
      </w:r>
      <w:r w:rsidR="00A233D8" w:rsidRPr="002866D4">
        <w:rPr>
          <w:rFonts w:ascii="Times" w:eastAsia="Times New Roman" w:hAnsi="Times"/>
          <w:noProof w:val="0"/>
          <w:sz w:val="24"/>
        </w:rPr>
        <w:t xml:space="preserve"> </w:t>
      </w:r>
      <w:r w:rsidR="002866D4" w:rsidRPr="002866D4">
        <w:rPr>
          <w:rFonts w:ascii="Times" w:eastAsia="Times New Roman" w:hAnsi="Times"/>
          <w:noProof w:val="0"/>
          <w:sz w:val="24"/>
        </w:rPr>
        <w:t xml:space="preserve">(3) </w:t>
      </w:r>
      <w:r w:rsidR="005E5ECC" w:rsidRPr="002866D4">
        <w:rPr>
          <w:rFonts w:ascii="Times" w:eastAsia="Times New Roman" w:hAnsi="Times"/>
          <w:noProof w:val="0"/>
          <w:sz w:val="24"/>
        </w:rPr>
        <w:t>In April of 2012, the Jason-1 radar altimeter was maneuvered from its 10-day repeat tra</w:t>
      </w:r>
      <w:r w:rsidR="002866D4">
        <w:rPr>
          <w:rFonts w:ascii="Times" w:eastAsia="Times New Roman" w:hAnsi="Times"/>
          <w:noProof w:val="0"/>
          <w:sz w:val="24"/>
        </w:rPr>
        <w:t xml:space="preserve">ck to a new </w:t>
      </w:r>
      <w:proofErr w:type="gramStart"/>
      <w:r w:rsidR="002866D4">
        <w:rPr>
          <w:rFonts w:ascii="Times" w:eastAsia="Times New Roman" w:hAnsi="Times"/>
          <w:noProof w:val="0"/>
          <w:sz w:val="24"/>
        </w:rPr>
        <w:t>406 day</w:t>
      </w:r>
      <w:proofErr w:type="gramEnd"/>
      <w:r w:rsidR="002866D4">
        <w:rPr>
          <w:rFonts w:ascii="Times" w:eastAsia="Times New Roman" w:hAnsi="Times"/>
          <w:noProof w:val="0"/>
          <w:sz w:val="24"/>
        </w:rPr>
        <w:t xml:space="preserve"> repeat track</w:t>
      </w:r>
      <w:r w:rsidR="005E5ECC" w:rsidRPr="002866D4">
        <w:rPr>
          <w:rFonts w:ascii="Times" w:eastAsia="Times New Roman" w:hAnsi="Times"/>
          <w:noProof w:val="0"/>
          <w:sz w:val="24"/>
        </w:rPr>
        <w:t xml:space="preserve"> to begin its new geodetic mission phase.  </w:t>
      </w:r>
      <w:r w:rsidR="00A233D8" w:rsidRPr="002866D4">
        <w:rPr>
          <w:rFonts w:ascii="Times" w:eastAsia="Times New Roman" w:hAnsi="Times"/>
          <w:noProof w:val="0"/>
          <w:sz w:val="24"/>
        </w:rPr>
        <w:t xml:space="preserve">We are currently constructing </w:t>
      </w:r>
      <w:proofErr w:type="spellStart"/>
      <w:r w:rsidR="00A233D8" w:rsidRPr="002866D4">
        <w:rPr>
          <w:rFonts w:ascii="Times" w:eastAsia="Times New Roman" w:hAnsi="Times"/>
          <w:noProof w:val="0"/>
          <w:sz w:val="24"/>
        </w:rPr>
        <w:t>retracking</w:t>
      </w:r>
      <w:proofErr w:type="spellEnd"/>
      <w:r w:rsidR="00A233D8" w:rsidRPr="002866D4">
        <w:rPr>
          <w:rFonts w:ascii="Times" w:eastAsia="Times New Roman" w:hAnsi="Times"/>
          <w:noProof w:val="0"/>
          <w:sz w:val="24"/>
        </w:rPr>
        <w:t xml:space="preserve"> software to process Jason-1 data.</w:t>
      </w:r>
    </w:p>
    <w:p w14:paraId="3D0CB0A8" w14:textId="77777777" w:rsidR="00FE15C5" w:rsidRPr="002866D4" w:rsidRDefault="00FE15C5" w:rsidP="00DA6FFB">
      <w:pPr>
        <w:pStyle w:val="Papertext"/>
        <w:rPr>
          <w:rFonts w:ascii="Times" w:eastAsia="Times New Roman" w:hAnsi="Times"/>
          <w:noProof w:val="0"/>
          <w:color w:val="000000"/>
          <w:sz w:val="24"/>
        </w:rPr>
      </w:pPr>
    </w:p>
    <w:p w14:paraId="78DDCAD2" w14:textId="77777777" w:rsidR="0009600C" w:rsidRPr="0009600C" w:rsidRDefault="0009600C">
      <w:pPr>
        <w:pStyle w:val="Papertext"/>
        <w:rPr>
          <w:rFonts w:ascii="Times" w:eastAsia="Times New Roman" w:hAnsi="Times"/>
          <w:i/>
          <w:noProof w:val="0"/>
          <w:color w:val="000000"/>
          <w:sz w:val="24"/>
        </w:rPr>
      </w:pPr>
      <w:r w:rsidRPr="0009600C">
        <w:rPr>
          <w:rFonts w:ascii="Times" w:eastAsia="Times New Roman" w:hAnsi="Times"/>
          <w:i/>
          <w:noProof w:val="0"/>
          <w:color w:val="000000"/>
          <w:sz w:val="24"/>
        </w:rPr>
        <w:t>Range Precision</w:t>
      </w:r>
    </w:p>
    <w:p w14:paraId="44363712" w14:textId="6FBAD6BE" w:rsidR="005E5ECC" w:rsidRPr="002866D4" w:rsidRDefault="007E7958">
      <w:pPr>
        <w:pStyle w:val="Papertext"/>
        <w:rPr>
          <w:rFonts w:ascii="Times" w:hAnsi="Times"/>
          <w:noProof w:val="0"/>
          <w:sz w:val="24"/>
        </w:rPr>
      </w:pPr>
      <w:r w:rsidRPr="002866D4">
        <w:rPr>
          <w:rFonts w:ascii="Times" w:hAnsi="Times"/>
          <w:noProof w:val="0"/>
          <w:sz w:val="24"/>
        </w:rPr>
        <w:t xml:space="preserve">The largest error source in the construction of marine gravity models from satellite altimetry is due to errors in picking the arrival time of the return radar echo.  </w:t>
      </w:r>
      <w:r w:rsidR="005E5ECC" w:rsidRPr="002866D4">
        <w:rPr>
          <w:rFonts w:ascii="Times" w:hAnsi="Times"/>
          <w:noProof w:val="0"/>
          <w:sz w:val="24"/>
        </w:rPr>
        <w:t xml:space="preserve">We have developed a new approach to </w:t>
      </w:r>
      <w:proofErr w:type="spellStart"/>
      <w:r w:rsidR="005E5ECC" w:rsidRPr="002866D4">
        <w:rPr>
          <w:rFonts w:ascii="Times" w:hAnsi="Times"/>
          <w:noProof w:val="0"/>
          <w:sz w:val="24"/>
        </w:rPr>
        <w:t>retracking</w:t>
      </w:r>
      <w:proofErr w:type="spellEnd"/>
      <w:r w:rsidR="005E5ECC" w:rsidRPr="002866D4">
        <w:rPr>
          <w:rFonts w:ascii="Times" w:hAnsi="Times"/>
          <w:noProof w:val="0"/>
          <w:sz w:val="24"/>
        </w:rPr>
        <w:t xml:space="preserve"> altimeter waveforms by assuming that rise-time parameter</w:t>
      </w:r>
      <w:r w:rsidR="00513200" w:rsidRPr="002866D4">
        <w:rPr>
          <w:rFonts w:ascii="Times" w:hAnsi="Times"/>
          <w:noProof w:val="0"/>
          <w:sz w:val="24"/>
        </w:rPr>
        <w:t>, which represents the roughness of the ocean surface from ocean swell</w:t>
      </w:r>
      <w:r w:rsidR="00D21A64" w:rsidRPr="002866D4">
        <w:rPr>
          <w:rFonts w:ascii="Times" w:hAnsi="Times"/>
          <w:noProof w:val="0"/>
          <w:sz w:val="24"/>
        </w:rPr>
        <w:t xml:space="preserve"> (SWH)</w:t>
      </w:r>
      <w:r w:rsidR="00513200" w:rsidRPr="002866D4">
        <w:rPr>
          <w:rFonts w:ascii="Times" w:hAnsi="Times"/>
          <w:noProof w:val="0"/>
          <w:sz w:val="24"/>
        </w:rPr>
        <w:t xml:space="preserve">, </w:t>
      </w:r>
      <w:r w:rsidR="005E5ECC" w:rsidRPr="002866D4">
        <w:rPr>
          <w:rFonts w:ascii="Times" w:hAnsi="Times"/>
          <w:noProof w:val="0"/>
          <w:sz w:val="24"/>
        </w:rPr>
        <w:t xml:space="preserve">varies smoothly along the satellite ground track.  The results of the 20 Hz range precision for </w:t>
      </w:r>
      <w:r w:rsidR="00513200" w:rsidRPr="002866D4">
        <w:rPr>
          <w:rFonts w:ascii="Times" w:hAnsi="Times"/>
          <w:noProof w:val="0"/>
          <w:sz w:val="24"/>
        </w:rPr>
        <w:t>all the non-repeat altimeters are</w:t>
      </w:r>
      <w:r w:rsidR="005E5ECC" w:rsidRPr="002866D4">
        <w:rPr>
          <w:rFonts w:ascii="Times" w:hAnsi="Times"/>
          <w:noProof w:val="0"/>
          <w:sz w:val="24"/>
        </w:rPr>
        <w:t xml:space="preserve"> provided in the Table below.  </w:t>
      </w:r>
      <w:r w:rsidR="00513200" w:rsidRPr="002866D4">
        <w:rPr>
          <w:rFonts w:ascii="Times" w:hAnsi="Times"/>
          <w:noProof w:val="0"/>
          <w:sz w:val="24"/>
        </w:rPr>
        <w:t xml:space="preserve"> Note the improved range precision of the newer altimeters on </w:t>
      </w:r>
      <w:proofErr w:type="spellStart"/>
      <w:r w:rsidR="00513200" w:rsidRPr="002866D4">
        <w:rPr>
          <w:rFonts w:ascii="Times" w:hAnsi="Times"/>
          <w:noProof w:val="0"/>
          <w:sz w:val="24"/>
        </w:rPr>
        <w:t>Envisat</w:t>
      </w:r>
      <w:proofErr w:type="spellEnd"/>
      <w:r w:rsidR="00513200" w:rsidRPr="002866D4">
        <w:rPr>
          <w:rFonts w:ascii="Times" w:hAnsi="Times"/>
          <w:noProof w:val="0"/>
          <w:sz w:val="24"/>
        </w:rPr>
        <w:t xml:space="preserve"> and </w:t>
      </w:r>
      <w:proofErr w:type="spellStart"/>
      <w:r w:rsidR="00513200" w:rsidRPr="002866D4">
        <w:rPr>
          <w:rFonts w:ascii="Times" w:hAnsi="Times"/>
          <w:noProof w:val="0"/>
          <w:sz w:val="24"/>
        </w:rPr>
        <w:t>CryoSat</w:t>
      </w:r>
      <w:proofErr w:type="spellEnd"/>
      <w:r w:rsidR="00513200" w:rsidRPr="002866D4">
        <w:rPr>
          <w:rFonts w:ascii="Times" w:hAnsi="Times"/>
          <w:noProof w:val="0"/>
          <w:sz w:val="24"/>
        </w:rPr>
        <w:t xml:space="preserve"> with respect to the older altimeters on </w:t>
      </w:r>
      <w:proofErr w:type="spellStart"/>
      <w:r w:rsidR="00513200" w:rsidRPr="002866D4">
        <w:rPr>
          <w:rFonts w:ascii="Times" w:hAnsi="Times"/>
          <w:noProof w:val="0"/>
          <w:sz w:val="24"/>
        </w:rPr>
        <w:t>Geosat</w:t>
      </w:r>
      <w:proofErr w:type="spellEnd"/>
      <w:r w:rsidR="00513200" w:rsidRPr="002866D4">
        <w:rPr>
          <w:rFonts w:ascii="Times" w:hAnsi="Times"/>
          <w:noProof w:val="0"/>
          <w:sz w:val="24"/>
        </w:rPr>
        <w:t xml:space="preserve"> and ERS-1.  These improvements in range precision combined with the increased track density will result in dramatic improvements in the accuracy of the marine gravity field.</w:t>
      </w:r>
    </w:p>
    <w:p w14:paraId="46D9F833" w14:textId="77777777" w:rsidR="00D36183" w:rsidRPr="002866D4" w:rsidRDefault="00D36183" w:rsidP="007E7958">
      <w:pPr>
        <w:rPr>
          <w:rFonts w:ascii="Times" w:hAnsi="Times"/>
          <w:noProof w:val="0"/>
        </w:rPr>
      </w:pPr>
    </w:p>
    <w:p w14:paraId="331397A4" w14:textId="33300494" w:rsidR="007E7958" w:rsidRPr="00045B65" w:rsidRDefault="00045B65" w:rsidP="007E7958">
      <w:pPr>
        <w:rPr>
          <w:rFonts w:ascii="Times" w:hAnsi="Times"/>
          <w:i/>
          <w:noProof w:val="0"/>
        </w:rPr>
      </w:pPr>
      <w:r>
        <w:rPr>
          <w:rFonts w:ascii="Times" w:hAnsi="Times"/>
          <w:i/>
          <w:noProof w:val="0"/>
        </w:rPr>
        <w:lastRenderedPageBreak/>
        <w:t>Table -</w:t>
      </w:r>
      <w:bookmarkStart w:id="0" w:name="_GoBack"/>
      <w:bookmarkEnd w:id="0"/>
      <w:r w:rsidRPr="00045B65">
        <w:rPr>
          <w:rFonts w:ascii="Times" w:hAnsi="Times"/>
          <w:i/>
          <w:noProof w:val="0"/>
        </w:rPr>
        <w:t xml:space="preserve"> Altimeter Noise</w:t>
      </w:r>
      <w:r w:rsidR="007E7958" w:rsidRPr="00045B65">
        <w:rPr>
          <w:rFonts w:ascii="Times" w:hAnsi="Times"/>
          <w:i/>
          <w:noProof w:val="0"/>
        </w:rPr>
        <w:t xml:space="preserve">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214"/>
        <w:gridCol w:w="2214"/>
      </w:tblGrid>
      <w:tr w:rsidR="00513200" w:rsidRPr="002866D4" w14:paraId="6999A36F" w14:textId="77777777" w:rsidTr="00513200">
        <w:tc>
          <w:tcPr>
            <w:tcW w:w="2154" w:type="dxa"/>
            <w:shd w:val="clear" w:color="auto" w:fill="auto"/>
          </w:tcPr>
          <w:p w14:paraId="11AD43A0" w14:textId="77777777" w:rsidR="00513200" w:rsidRPr="002866D4" w:rsidRDefault="00513200" w:rsidP="007E7958">
            <w:pPr>
              <w:rPr>
                <w:rFonts w:ascii="Times" w:hAnsi="Times"/>
                <w:noProof w:val="0"/>
              </w:rPr>
            </w:pPr>
            <w:r w:rsidRPr="002866D4">
              <w:rPr>
                <w:rFonts w:ascii="Times" w:hAnsi="Times"/>
                <w:noProof w:val="0"/>
              </w:rPr>
              <w:t>Altimeter</w:t>
            </w:r>
          </w:p>
        </w:tc>
        <w:tc>
          <w:tcPr>
            <w:tcW w:w="2214" w:type="dxa"/>
            <w:shd w:val="clear" w:color="auto" w:fill="auto"/>
          </w:tcPr>
          <w:p w14:paraId="3293EEE2" w14:textId="321A06EC" w:rsidR="00513200" w:rsidRPr="002866D4" w:rsidRDefault="00513200" w:rsidP="007E7958">
            <w:pPr>
              <w:rPr>
                <w:rFonts w:ascii="Times" w:hAnsi="Times"/>
                <w:noProof w:val="0"/>
              </w:rPr>
            </w:pPr>
            <w:r w:rsidRPr="002866D4">
              <w:rPr>
                <w:rFonts w:ascii="Times" w:hAnsi="Times"/>
                <w:noProof w:val="0"/>
              </w:rPr>
              <w:t>2 m SWH</w:t>
            </w:r>
          </w:p>
        </w:tc>
        <w:tc>
          <w:tcPr>
            <w:tcW w:w="2214" w:type="dxa"/>
            <w:shd w:val="clear" w:color="auto" w:fill="auto"/>
          </w:tcPr>
          <w:p w14:paraId="704030B6" w14:textId="2B886487" w:rsidR="00513200" w:rsidRPr="002866D4" w:rsidRDefault="00513200" w:rsidP="007E7958">
            <w:pPr>
              <w:rPr>
                <w:rFonts w:ascii="Times" w:hAnsi="Times"/>
                <w:noProof w:val="0"/>
              </w:rPr>
            </w:pPr>
            <w:r w:rsidRPr="002866D4">
              <w:rPr>
                <w:rFonts w:ascii="Times" w:hAnsi="Times"/>
                <w:noProof w:val="0"/>
              </w:rPr>
              <w:t>6 m SWH</w:t>
            </w:r>
          </w:p>
        </w:tc>
      </w:tr>
      <w:tr w:rsidR="00513200" w:rsidRPr="002866D4" w14:paraId="0240F1DE" w14:textId="77777777" w:rsidTr="00513200">
        <w:tc>
          <w:tcPr>
            <w:tcW w:w="2154" w:type="dxa"/>
            <w:shd w:val="clear" w:color="auto" w:fill="auto"/>
          </w:tcPr>
          <w:p w14:paraId="461FDA20" w14:textId="77777777" w:rsidR="00513200" w:rsidRPr="002866D4" w:rsidRDefault="00513200" w:rsidP="007E7958">
            <w:pPr>
              <w:rPr>
                <w:rFonts w:ascii="Times" w:hAnsi="Times"/>
                <w:noProof w:val="0"/>
              </w:rPr>
            </w:pPr>
            <w:proofErr w:type="spellStart"/>
            <w:r w:rsidRPr="002866D4">
              <w:rPr>
                <w:rFonts w:ascii="Times" w:hAnsi="Times"/>
                <w:noProof w:val="0"/>
              </w:rPr>
              <w:t>Geosat</w:t>
            </w:r>
            <w:proofErr w:type="spellEnd"/>
          </w:p>
        </w:tc>
        <w:tc>
          <w:tcPr>
            <w:tcW w:w="2214" w:type="dxa"/>
            <w:shd w:val="clear" w:color="auto" w:fill="auto"/>
          </w:tcPr>
          <w:p w14:paraId="495B51FF" w14:textId="77777777" w:rsidR="00513200" w:rsidRPr="002866D4" w:rsidRDefault="00513200" w:rsidP="007E7958">
            <w:pPr>
              <w:rPr>
                <w:rFonts w:ascii="Times" w:hAnsi="Times"/>
                <w:noProof w:val="0"/>
              </w:rPr>
            </w:pPr>
            <w:r w:rsidRPr="002866D4">
              <w:rPr>
                <w:rFonts w:ascii="Times" w:hAnsi="Times"/>
                <w:noProof w:val="0"/>
              </w:rPr>
              <w:t>57.0</w:t>
            </w:r>
          </w:p>
        </w:tc>
        <w:tc>
          <w:tcPr>
            <w:tcW w:w="2214" w:type="dxa"/>
            <w:shd w:val="clear" w:color="auto" w:fill="auto"/>
          </w:tcPr>
          <w:p w14:paraId="4F6574DC" w14:textId="77777777" w:rsidR="00513200" w:rsidRPr="002866D4" w:rsidRDefault="00513200" w:rsidP="007E7958">
            <w:pPr>
              <w:rPr>
                <w:rFonts w:ascii="Times" w:hAnsi="Times"/>
                <w:noProof w:val="0"/>
              </w:rPr>
            </w:pPr>
            <w:r w:rsidRPr="002866D4">
              <w:rPr>
                <w:rFonts w:ascii="Times" w:hAnsi="Times"/>
                <w:noProof w:val="0"/>
              </w:rPr>
              <w:t>105.4</w:t>
            </w:r>
          </w:p>
        </w:tc>
      </w:tr>
      <w:tr w:rsidR="00513200" w:rsidRPr="002866D4" w14:paraId="3F3013D5" w14:textId="77777777" w:rsidTr="00513200">
        <w:tc>
          <w:tcPr>
            <w:tcW w:w="2154" w:type="dxa"/>
            <w:shd w:val="clear" w:color="auto" w:fill="auto"/>
          </w:tcPr>
          <w:p w14:paraId="108B923D" w14:textId="77777777" w:rsidR="00513200" w:rsidRPr="002866D4" w:rsidRDefault="00513200" w:rsidP="007E7958">
            <w:pPr>
              <w:rPr>
                <w:rFonts w:ascii="Times" w:hAnsi="Times"/>
                <w:noProof w:val="0"/>
              </w:rPr>
            </w:pPr>
            <w:r w:rsidRPr="002866D4">
              <w:rPr>
                <w:rFonts w:ascii="Times" w:hAnsi="Times"/>
                <w:noProof w:val="0"/>
              </w:rPr>
              <w:t>ERS-1</w:t>
            </w:r>
          </w:p>
        </w:tc>
        <w:tc>
          <w:tcPr>
            <w:tcW w:w="2214" w:type="dxa"/>
            <w:shd w:val="clear" w:color="auto" w:fill="auto"/>
          </w:tcPr>
          <w:p w14:paraId="29AB2CDF" w14:textId="77777777" w:rsidR="00513200" w:rsidRPr="002866D4" w:rsidRDefault="00513200" w:rsidP="007E7958">
            <w:pPr>
              <w:rPr>
                <w:rFonts w:ascii="Times" w:hAnsi="Times"/>
                <w:noProof w:val="0"/>
              </w:rPr>
            </w:pPr>
            <w:r w:rsidRPr="002866D4">
              <w:rPr>
                <w:rFonts w:ascii="Times" w:hAnsi="Times"/>
                <w:noProof w:val="0"/>
              </w:rPr>
              <w:t>61.8</w:t>
            </w:r>
          </w:p>
        </w:tc>
        <w:tc>
          <w:tcPr>
            <w:tcW w:w="2214" w:type="dxa"/>
            <w:shd w:val="clear" w:color="auto" w:fill="auto"/>
          </w:tcPr>
          <w:p w14:paraId="26E52102" w14:textId="77777777" w:rsidR="00513200" w:rsidRPr="002866D4" w:rsidRDefault="00513200" w:rsidP="007E7958">
            <w:pPr>
              <w:rPr>
                <w:rFonts w:ascii="Times" w:hAnsi="Times"/>
                <w:noProof w:val="0"/>
              </w:rPr>
            </w:pPr>
            <w:r w:rsidRPr="002866D4">
              <w:rPr>
                <w:rFonts w:ascii="Times" w:hAnsi="Times"/>
                <w:noProof w:val="0"/>
              </w:rPr>
              <w:t>111.8</w:t>
            </w:r>
          </w:p>
        </w:tc>
      </w:tr>
      <w:tr w:rsidR="002866D4" w:rsidRPr="002866D4" w14:paraId="0812E890" w14:textId="77777777" w:rsidTr="002866D4">
        <w:tc>
          <w:tcPr>
            <w:tcW w:w="2154" w:type="dxa"/>
            <w:shd w:val="clear" w:color="auto" w:fill="auto"/>
          </w:tcPr>
          <w:p w14:paraId="2C8D1CDB" w14:textId="48840E87" w:rsidR="002866D4" w:rsidRPr="002866D4" w:rsidRDefault="002866D4" w:rsidP="002866D4">
            <w:pPr>
              <w:rPr>
                <w:rFonts w:ascii="Times" w:hAnsi="Times"/>
                <w:noProof w:val="0"/>
              </w:rPr>
            </w:pPr>
            <w:proofErr w:type="spellStart"/>
            <w:r w:rsidRPr="002866D4">
              <w:rPr>
                <w:rFonts w:ascii="Times" w:hAnsi="Times"/>
                <w:noProof w:val="0"/>
              </w:rPr>
              <w:t>CryoSat</w:t>
            </w:r>
            <w:proofErr w:type="spellEnd"/>
          </w:p>
        </w:tc>
        <w:tc>
          <w:tcPr>
            <w:tcW w:w="2214" w:type="dxa"/>
            <w:shd w:val="clear" w:color="auto" w:fill="auto"/>
          </w:tcPr>
          <w:p w14:paraId="3C98C68A" w14:textId="40FEBCF4" w:rsidR="002866D4" w:rsidRPr="002866D4" w:rsidRDefault="002866D4" w:rsidP="002866D4">
            <w:pPr>
              <w:rPr>
                <w:rFonts w:ascii="Times" w:hAnsi="Times"/>
                <w:noProof w:val="0"/>
              </w:rPr>
            </w:pPr>
            <w:r w:rsidRPr="002866D4">
              <w:rPr>
                <w:rFonts w:ascii="Times" w:hAnsi="Times"/>
                <w:noProof w:val="0"/>
              </w:rPr>
              <w:t>42.7</w:t>
            </w:r>
          </w:p>
        </w:tc>
        <w:tc>
          <w:tcPr>
            <w:tcW w:w="2214" w:type="dxa"/>
            <w:shd w:val="clear" w:color="auto" w:fill="auto"/>
          </w:tcPr>
          <w:p w14:paraId="4C0572D3" w14:textId="2CD912A9" w:rsidR="002866D4" w:rsidRPr="002866D4" w:rsidRDefault="002866D4" w:rsidP="002866D4">
            <w:pPr>
              <w:rPr>
                <w:rFonts w:ascii="Times" w:hAnsi="Times"/>
                <w:noProof w:val="0"/>
              </w:rPr>
            </w:pPr>
            <w:r w:rsidRPr="002866D4">
              <w:rPr>
                <w:rFonts w:ascii="Times" w:hAnsi="Times"/>
                <w:noProof w:val="0"/>
              </w:rPr>
              <w:t>71.7</w:t>
            </w:r>
          </w:p>
        </w:tc>
      </w:tr>
      <w:tr w:rsidR="00513200" w:rsidRPr="002866D4" w14:paraId="50B67BE4" w14:textId="77777777" w:rsidTr="00513200">
        <w:tc>
          <w:tcPr>
            <w:tcW w:w="2154" w:type="dxa"/>
            <w:shd w:val="clear" w:color="auto" w:fill="auto"/>
          </w:tcPr>
          <w:p w14:paraId="32759E82" w14:textId="77777777" w:rsidR="00513200" w:rsidRPr="002866D4" w:rsidRDefault="00513200" w:rsidP="007E7958">
            <w:pPr>
              <w:rPr>
                <w:rFonts w:ascii="Times" w:hAnsi="Times"/>
                <w:noProof w:val="0"/>
              </w:rPr>
            </w:pPr>
            <w:proofErr w:type="spellStart"/>
            <w:r w:rsidRPr="002866D4">
              <w:rPr>
                <w:rFonts w:ascii="Times" w:hAnsi="Times"/>
                <w:noProof w:val="0"/>
              </w:rPr>
              <w:t>Envisat</w:t>
            </w:r>
            <w:proofErr w:type="spellEnd"/>
          </w:p>
        </w:tc>
        <w:tc>
          <w:tcPr>
            <w:tcW w:w="2214" w:type="dxa"/>
            <w:shd w:val="clear" w:color="auto" w:fill="auto"/>
          </w:tcPr>
          <w:p w14:paraId="15D06ADB" w14:textId="77777777" w:rsidR="00513200" w:rsidRPr="002866D4" w:rsidRDefault="00513200" w:rsidP="007E7958">
            <w:pPr>
              <w:rPr>
                <w:rFonts w:ascii="Times" w:hAnsi="Times"/>
                <w:noProof w:val="0"/>
              </w:rPr>
            </w:pPr>
            <w:r w:rsidRPr="002866D4">
              <w:rPr>
                <w:rFonts w:ascii="Times" w:hAnsi="Times"/>
                <w:noProof w:val="0"/>
              </w:rPr>
              <w:t>51.8</w:t>
            </w:r>
          </w:p>
        </w:tc>
        <w:tc>
          <w:tcPr>
            <w:tcW w:w="2214" w:type="dxa"/>
            <w:shd w:val="clear" w:color="auto" w:fill="auto"/>
          </w:tcPr>
          <w:p w14:paraId="77A00396" w14:textId="77777777" w:rsidR="00513200" w:rsidRPr="002866D4" w:rsidRDefault="00513200" w:rsidP="007E7958">
            <w:pPr>
              <w:rPr>
                <w:rFonts w:ascii="Times" w:hAnsi="Times"/>
                <w:noProof w:val="0"/>
              </w:rPr>
            </w:pPr>
            <w:r w:rsidRPr="002866D4">
              <w:rPr>
                <w:rFonts w:ascii="Times" w:hAnsi="Times"/>
                <w:noProof w:val="0"/>
              </w:rPr>
              <w:t>88.6</w:t>
            </w:r>
          </w:p>
        </w:tc>
      </w:tr>
      <w:tr w:rsidR="00513200" w:rsidRPr="002866D4" w14:paraId="161D8106" w14:textId="77777777" w:rsidTr="00513200">
        <w:tc>
          <w:tcPr>
            <w:tcW w:w="2154" w:type="dxa"/>
            <w:shd w:val="clear" w:color="auto" w:fill="auto"/>
          </w:tcPr>
          <w:p w14:paraId="03BBB0F9" w14:textId="77777777" w:rsidR="00513200" w:rsidRPr="002866D4" w:rsidRDefault="00513200" w:rsidP="007E7958">
            <w:pPr>
              <w:rPr>
                <w:rFonts w:ascii="Times" w:hAnsi="Times"/>
                <w:noProof w:val="0"/>
              </w:rPr>
            </w:pPr>
            <w:r w:rsidRPr="002866D4">
              <w:rPr>
                <w:rFonts w:ascii="Times" w:hAnsi="Times"/>
                <w:noProof w:val="0"/>
              </w:rPr>
              <w:t>Jason-1</w:t>
            </w:r>
          </w:p>
        </w:tc>
        <w:tc>
          <w:tcPr>
            <w:tcW w:w="2214" w:type="dxa"/>
            <w:shd w:val="clear" w:color="auto" w:fill="auto"/>
          </w:tcPr>
          <w:p w14:paraId="3987F913" w14:textId="691070CF" w:rsidR="00513200" w:rsidRPr="002866D4" w:rsidRDefault="00FB75B3" w:rsidP="007E7958">
            <w:pPr>
              <w:rPr>
                <w:rFonts w:ascii="Times" w:hAnsi="Times"/>
                <w:noProof w:val="0"/>
              </w:rPr>
            </w:pPr>
            <w:r>
              <w:rPr>
                <w:rFonts w:ascii="Times" w:hAnsi="Times"/>
                <w:noProof w:val="0"/>
              </w:rPr>
              <w:t>TBD</w:t>
            </w:r>
          </w:p>
        </w:tc>
        <w:tc>
          <w:tcPr>
            <w:tcW w:w="2214" w:type="dxa"/>
            <w:shd w:val="clear" w:color="auto" w:fill="auto"/>
          </w:tcPr>
          <w:p w14:paraId="306B0EA4" w14:textId="2EFAD56F" w:rsidR="00513200" w:rsidRPr="002866D4" w:rsidRDefault="00FB75B3" w:rsidP="007E7958">
            <w:pPr>
              <w:rPr>
                <w:rFonts w:ascii="Times" w:hAnsi="Times"/>
                <w:noProof w:val="0"/>
              </w:rPr>
            </w:pPr>
            <w:r>
              <w:rPr>
                <w:rFonts w:ascii="Times" w:hAnsi="Times"/>
                <w:noProof w:val="0"/>
              </w:rPr>
              <w:t>TBD</w:t>
            </w:r>
          </w:p>
        </w:tc>
      </w:tr>
    </w:tbl>
    <w:p w14:paraId="7AEA104E" w14:textId="3027DFE3" w:rsidR="007E7958" w:rsidRPr="002866D4" w:rsidRDefault="007E7958" w:rsidP="007E7958">
      <w:pPr>
        <w:rPr>
          <w:rFonts w:ascii="Times" w:hAnsi="Times"/>
          <w:noProof w:val="0"/>
          <w:sz w:val="20"/>
          <w:szCs w:val="20"/>
        </w:rPr>
      </w:pPr>
      <w:r w:rsidRPr="002866D4">
        <w:rPr>
          <w:rFonts w:ascii="Times" w:hAnsi="Times"/>
          <w:noProof w:val="0"/>
          <w:sz w:val="20"/>
          <w:szCs w:val="20"/>
        </w:rPr>
        <w:t>Standard deviation of retracked 20 Hz height estimates</w:t>
      </w:r>
      <w:r w:rsidR="0009600C">
        <w:rPr>
          <w:rFonts w:ascii="Times" w:hAnsi="Times"/>
          <w:noProof w:val="0"/>
          <w:sz w:val="20"/>
          <w:szCs w:val="20"/>
        </w:rPr>
        <w:t xml:space="preserve"> for two significant wave heights (SWH)</w:t>
      </w:r>
      <w:r w:rsidRPr="002866D4">
        <w:rPr>
          <w:rFonts w:ascii="Times" w:hAnsi="Times"/>
          <w:noProof w:val="0"/>
          <w:sz w:val="20"/>
          <w:szCs w:val="20"/>
        </w:rPr>
        <w:t>.  The data are from a region of the North Atlantic with relatively high sea state.  The values represent the median of thousands of estimates over a</w:t>
      </w:r>
      <w:r w:rsidR="002518F5" w:rsidRPr="002866D4">
        <w:rPr>
          <w:rFonts w:ascii="Times" w:hAnsi="Times"/>
          <w:noProof w:val="0"/>
          <w:sz w:val="20"/>
          <w:szCs w:val="20"/>
        </w:rPr>
        <w:t xml:space="preserve"> 0.4 m range of SWH. </w:t>
      </w:r>
    </w:p>
    <w:p w14:paraId="00808AA9" w14:textId="77777777" w:rsidR="00D77881" w:rsidRPr="002F316E" w:rsidRDefault="00D77881">
      <w:pPr>
        <w:pStyle w:val="Papertext"/>
        <w:rPr>
          <w:rFonts w:ascii="Arial" w:hAnsi="Arial"/>
          <w:noProof w:val="0"/>
        </w:rPr>
      </w:pPr>
    </w:p>
    <w:sectPr w:rsidR="00D77881" w:rsidRPr="002F316E" w:rsidSect="002866D4">
      <w:pgSz w:w="11905" w:h="16837"/>
      <w:pgMar w:top="1440"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Nimbus Roman No9 L">
    <w:altName w:val="Times New Roman"/>
    <w:charset w:val="80"/>
    <w:family w:val="roman"/>
    <w:pitch w:val="variable"/>
  </w:font>
  <w:font w:name="DejaVu Sans">
    <w:altName w:val="Times New Roman"/>
    <w:charset w:val="80"/>
    <w:family w:val="auto"/>
    <w:pitch w:val="variable"/>
  </w:font>
  <w:font w:name="OpenSymbol">
    <w:altName w:val="Arial Unicode MS"/>
    <w:charset w:val="80"/>
    <w:family w:val="auto"/>
    <w:pitch w:val="default"/>
  </w:font>
  <w:font w:name="Nimbus Sans L">
    <w:altName w:val="Arial"/>
    <w:charset w:val="80"/>
    <w:family w:val="swiss"/>
    <w:pitch w:val="variable"/>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81"/>
    <w:rsid w:val="00041C7A"/>
    <w:rsid w:val="00045B65"/>
    <w:rsid w:val="00081078"/>
    <w:rsid w:val="0009600C"/>
    <w:rsid w:val="00116F4E"/>
    <w:rsid w:val="00176017"/>
    <w:rsid w:val="00181BE3"/>
    <w:rsid w:val="002518F5"/>
    <w:rsid w:val="002866D4"/>
    <w:rsid w:val="00286D34"/>
    <w:rsid w:val="0029597E"/>
    <w:rsid w:val="002F316E"/>
    <w:rsid w:val="003202CE"/>
    <w:rsid w:val="0046145F"/>
    <w:rsid w:val="00490E65"/>
    <w:rsid w:val="004E6543"/>
    <w:rsid w:val="00513200"/>
    <w:rsid w:val="0057799B"/>
    <w:rsid w:val="005A38F5"/>
    <w:rsid w:val="005E5ECC"/>
    <w:rsid w:val="007E25D1"/>
    <w:rsid w:val="007E7958"/>
    <w:rsid w:val="00875ACD"/>
    <w:rsid w:val="008C556D"/>
    <w:rsid w:val="00932FF9"/>
    <w:rsid w:val="009906A0"/>
    <w:rsid w:val="009E2E78"/>
    <w:rsid w:val="00A233D8"/>
    <w:rsid w:val="00B01612"/>
    <w:rsid w:val="00BC68DF"/>
    <w:rsid w:val="00BD4457"/>
    <w:rsid w:val="00C50830"/>
    <w:rsid w:val="00CC080E"/>
    <w:rsid w:val="00CF16E9"/>
    <w:rsid w:val="00D0241F"/>
    <w:rsid w:val="00D21A64"/>
    <w:rsid w:val="00D36183"/>
    <w:rsid w:val="00D77881"/>
    <w:rsid w:val="00DA6FFB"/>
    <w:rsid w:val="00DD7D2B"/>
    <w:rsid w:val="00F0044D"/>
    <w:rsid w:val="00F30A85"/>
    <w:rsid w:val="00FB75B3"/>
    <w:rsid w:val="00FD1059"/>
    <w:rsid w:val="00FE1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2C8A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Nimbus Roman No9 L" w:eastAsia="DejaVu Sans" w:hAnsi="Nimbus Roman No9 L"/>
      <w:noProof/>
      <w:kern w:val="1"/>
      <w:sz w:val="24"/>
      <w:szCs w:val="24"/>
    </w:rPr>
  </w:style>
  <w:style w:type="paragraph" w:styleId="Heading4">
    <w:name w:val="heading 4"/>
    <w:basedOn w:val="Titre1"/>
    <w:next w:val="BodyText"/>
    <w:qFormat/>
    <w:pPr>
      <w:numPr>
        <w:ilvl w:val="3"/>
        <w:numId w:val="1"/>
      </w:numPr>
      <w:outlineLvl w:val="3"/>
    </w:pPr>
    <w:rPr>
      <w:rFonts w:ascii="Nimbus Roman No9 L" w:hAnsi="Nimbus Roman No9 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Policepardfaut">
    <w:name w:val="Police par défaut"/>
  </w:style>
  <w:style w:type="character" w:customStyle="1" w:styleId="WW-Absatz-Standardschriftart1111">
    <w:name w:val="WW-Absatz-Standardschriftart1111"/>
  </w:style>
  <w:style w:type="character" w:styleId="Strong">
    <w:name w:val="Strong"/>
    <w:qFormat/>
    <w:rPr>
      <w:b/>
      <w:bCs/>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styleId="Hyperlink">
    <w:name w:val="Hyperlink"/>
    <w:rPr>
      <w:color w:val="000080"/>
      <w:u w:val="single"/>
    </w:rPr>
  </w:style>
  <w:style w:type="character" w:customStyle="1" w:styleId="Policepardfaut1">
    <w:name w:val="Police par défaut1"/>
  </w:style>
  <w:style w:type="character" w:customStyle="1" w:styleId="AuthorsChar">
    <w:name w:val="Authors Char"/>
    <w:rPr>
      <w:sz w:val="24"/>
      <w:szCs w:val="24"/>
      <w:lang w:val="hr-HR" w:eastAsia="ar-SA" w:bidi="ar-SA"/>
    </w:rPr>
  </w:style>
  <w:style w:type="character" w:customStyle="1" w:styleId="AuthorsafiiliationChar">
    <w:name w:val="Author's afiiliation Char"/>
    <w:rPr>
      <w:i/>
      <w:sz w:val="22"/>
      <w:szCs w:val="24"/>
      <w:lang w:val="hr-HR" w:eastAsia="ar-SA" w:bidi="ar-SA"/>
    </w:rPr>
  </w:style>
  <w:style w:type="character" w:styleId="Emphasis">
    <w:name w:val="Emphasis"/>
    <w:qFormat/>
    <w:rPr>
      <w:i/>
      <w:iCs/>
    </w:rPr>
  </w:style>
  <w:style w:type="paragraph" w:customStyle="1" w:styleId="Titre">
    <w:name w:val="Titre"/>
    <w:basedOn w:val="Normal"/>
    <w:next w:val="BodyText"/>
    <w:pPr>
      <w:keepNext/>
      <w:spacing w:before="240" w:after="120"/>
    </w:pPr>
    <w:rPr>
      <w:rFonts w:ascii="Nimbus Sans L" w:hAnsi="Nimbus Sans L" w:cs="Tahoma"/>
      <w:sz w:val="28"/>
      <w:szCs w:val="28"/>
    </w:rPr>
  </w:style>
  <w:style w:type="paragraph" w:styleId="BodyText">
    <w:name w:val="Body Text"/>
    <w:basedOn w:val="Normal"/>
    <w:pPr>
      <w:spacing w:after="120"/>
    </w:pPr>
  </w:style>
  <w:style w:type="paragraph" w:styleId="List">
    <w:name w:val="List"/>
    <w:basedOn w:val="BodyText"/>
  </w:style>
  <w:style w:type="paragraph" w:customStyle="1" w:styleId="Lgende">
    <w:name w:val="Légende"/>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1">
    <w:name w:val="Titre1"/>
    <w:basedOn w:val="Normal"/>
    <w:next w:val="BodyText"/>
    <w:pPr>
      <w:keepNext/>
      <w:spacing w:before="240" w:after="120"/>
    </w:pPr>
    <w:rPr>
      <w:rFonts w:ascii="Nimbus Sans L" w:hAnsi="Nimbus Sans L" w:cs="DejaVu Sans"/>
      <w:sz w:val="28"/>
      <w:szCs w:val="28"/>
    </w:rPr>
  </w:style>
  <w:style w:type="paragraph" w:customStyle="1" w:styleId="Lgende1">
    <w:name w:val="Légende1"/>
    <w:basedOn w:val="Normal"/>
    <w:pPr>
      <w:suppressLineNumbers/>
      <w:spacing w:before="120" w:after="120"/>
    </w:pPr>
    <w:rPr>
      <w:i/>
      <w:iCs/>
    </w:rPr>
  </w:style>
  <w:style w:type="paragraph" w:customStyle="1" w:styleId="Lignehorizontale">
    <w:name w:val="Ligne horizontale"/>
    <w:basedOn w:val="Normal"/>
    <w:next w:val="BodyText"/>
    <w:pPr>
      <w:suppressLineNumbers/>
      <w:pBdr>
        <w:bottom w:val="double" w:sz="1" w:space="0" w:color="808080"/>
      </w:pBdr>
      <w:spacing w:after="283"/>
    </w:pPr>
    <w:rPr>
      <w:sz w:val="12"/>
      <w:szCs w:val="12"/>
    </w:rPr>
  </w:style>
  <w:style w:type="paragraph" w:customStyle="1" w:styleId="Citation">
    <w:name w:val="Citation"/>
    <w:basedOn w:val="Normal"/>
    <w:pPr>
      <w:spacing w:after="283"/>
      <w:ind w:left="567" w:right="567"/>
    </w:pPr>
  </w:style>
  <w:style w:type="paragraph" w:customStyle="1" w:styleId="Papertext">
    <w:name w:val="Paper text"/>
    <w:basedOn w:val="Normal"/>
    <w:pPr>
      <w:jc w:val="both"/>
    </w:pPr>
    <w:rPr>
      <w:sz w:val="22"/>
    </w:rPr>
  </w:style>
  <w:style w:type="paragraph" w:customStyle="1" w:styleId="PaperTitle">
    <w:name w:val="Paper Title"/>
    <w:basedOn w:val="Normal"/>
    <w:next w:val="Authors"/>
    <w:pPr>
      <w:jc w:val="center"/>
    </w:pPr>
    <w:rPr>
      <w:b/>
      <w:caps/>
      <w:sz w:val="28"/>
      <w:szCs w:val="28"/>
    </w:rPr>
  </w:style>
  <w:style w:type="paragraph" w:customStyle="1" w:styleId="Authors">
    <w:name w:val="Authors"/>
    <w:basedOn w:val="Normal"/>
    <w:next w:val="Papertext"/>
    <w:pPr>
      <w:jc w:val="center"/>
    </w:pPr>
    <w:rPr>
      <w:sz w:val="22"/>
      <w:lang w:val="hr-HR"/>
    </w:rPr>
  </w:style>
  <w:style w:type="paragraph" w:styleId="Header">
    <w:name w:val="header"/>
    <w:basedOn w:val="Normal"/>
    <w:pPr>
      <w:tabs>
        <w:tab w:val="center" w:pos="4536"/>
        <w:tab w:val="right" w:pos="9072"/>
      </w:tabs>
    </w:pPr>
  </w:style>
  <w:style w:type="paragraph" w:customStyle="1" w:styleId="Textedebulles">
    <w:name w:val="Texte de bulles"/>
    <w:basedOn w:val="Normal"/>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uiPriority w:val="99"/>
    <w:semiHidden/>
    <w:unhideWhenUsed/>
    <w:rsid w:val="002866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Nimbus Roman No9 L" w:eastAsia="DejaVu Sans" w:hAnsi="Nimbus Roman No9 L"/>
      <w:noProof/>
      <w:kern w:val="1"/>
      <w:sz w:val="24"/>
      <w:szCs w:val="24"/>
    </w:rPr>
  </w:style>
  <w:style w:type="paragraph" w:styleId="Heading4">
    <w:name w:val="heading 4"/>
    <w:basedOn w:val="Titre1"/>
    <w:next w:val="BodyText"/>
    <w:qFormat/>
    <w:pPr>
      <w:numPr>
        <w:ilvl w:val="3"/>
        <w:numId w:val="1"/>
      </w:numPr>
      <w:outlineLvl w:val="3"/>
    </w:pPr>
    <w:rPr>
      <w:rFonts w:ascii="Nimbus Roman No9 L" w:hAnsi="Nimbus Roman No9 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Policepardfaut">
    <w:name w:val="Police par défaut"/>
  </w:style>
  <w:style w:type="character" w:customStyle="1" w:styleId="WW-Absatz-Standardschriftart1111">
    <w:name w:val="WW-Absatz-Standardschriftart1111"/>
  </w:style>
  <w:style w:type="character" w:styleId="Strong">
    <w:name w:val="Strong"/>
    <w:qFormat/>
    <w:rPr>
      <w:b/>
      <w:bCs/>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styleId="Hyperlink">
    <w:name w:val="Hyperlink"/>
    <w:rPr>
      <w:color w:val="000080"/>
      <w:u w:val="single"/>
    </w:rPr>
  </w:style>
  <w:style w:type="character" w:customStyle="1" w:styleId="Policepardfaut1">
    <w:name w:val="Police par défaut1"/>
  </w:style>
  <w:style w:type="character" w:customStyle="1" w:styleId="AuthorsChar">
    <w:name w:val="Authors Char"/>
    <w:rPr>
      <w:sz w:val="24"/>
      <w:szCs w:val="24"/>
      <w:lang w:val="hr-HR" w:eastAsia="ar-SA" w:bidi="ar-SA"/>
    </w:rPr>
  </w:style>
  <w:style w:type="character" w:customStyle="1" w:styleId="AuthorsafiiliationChar">
    <w:name w:val="Author's afiiliation Char"/>
    <w:rPr>
      <w:i/>
      <w:sz w:val="22"/>
      <w:szCs w:val="24"/>
      <w:lang w:val="hr-HR" w:eastAsia="ar-SA" w:bidi="ar-SA"/>
    </w:rPr>
  </w:style>
  <w:style w:type="character" w:styleId="Emphasis">
    <w:name w:val="Emphasis"/>
    <w:qFormat/>
    <w:rPr>
      <w:i/>
      <w:iCs/>
    </w:rPr>
  </w:style>
  <w:style w:type="paragraph" w:customStyle="1" w:styleId="Titre">
    <w:name w:val="Titre"/>
    <w:basedOn w:val="Normal"/>
    <w:next w:val="BodyText"/>
    <w:pPr>
      <w:keepNext/>
      <w:spacing w:before="240" w:after="120"/>
    </w:pPr>
    <w:rPr>
      <w:rFonts w:ascii="Nimbus Sans L" w:hAnsi="Nimbus Sans L" w:cs="Tahoma"/>
      <w:sz w:val="28"/>
      <w:szCs w:val="28"/>
    </w:rPr>
  </w:style>
  <w:style w:type="paragraph" w:styleId="BodyText">
    <w:name w:val="Body Text"/>
    <w:basedOn w:val="Normal"/>
    <w:pPr>
      <w:spacing w:after="120"/>
    </w:pPr>
  </w:style>
  <w:style w:type="paragraph" w:styleId="List">
    <w:name w:val="List"/>
    <w:basedOn w:val="BodyText"/>
  </w:style>
  <w:style w:type="paragraph" w:customStyle="1" w:styleId="Lgende">
    <w:name w:val="Légende"/>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1">
    <w:name w:val="Titre1"/>
    <w:basedOn w:val="Normal"/>
    <w:next w:val="BodyText"/>
    <w:pPr>
      <w:keepNext/>
      <w:spacing w:before="240" w:after="120"/>
    </w:pPr>
    <w:rPr>
      <w:rFonts w:ascii="Nimbus Sans L" w:hAnsi="Nimbus Sans L" w:cs="DejaVu Sans"/>
      <w:sz w:val="28"/>
      <w:szCs w:val="28"/>
    </w:rPr>
  </w:style>
  <w:style w:type="paragraph" w:customStyle="1" w:styleId="Lgende1">
    <w:name w:val="Légende1"/>
    <w:basedOn w:val="Normal"/>
    <w:pPr>
      <w:suppressLineNumbers/>
      <w:spacing w:before="120" w:after="120"/>
    </w:pPr>
    <w:rPr>
      <w:i/>
      <w:iCs/>
    </w:rPr>
  </w:style>
  <w:style w:type="paragraph" w:customStyle="1" w:styleId="Lignehorizontale">
    <w:name w:val="Ligne horizontale"/>
    <w:basedOn w:val="Normal"/>
    <w:next w:val="BodyText"/>
    <w:pPr>
      <w:suppressLineNumbers/>
      <w:pBdr>
        <w:bottom w:val="double" w:sz="1" w:space="0" w:color="808080"/>
      </w:pBdr>
      <w:spacing w:after="283"/>
    </w:pPr>
    <w:rPr>
      <w:sz w:val="12"/>
      <w:szCs w:val="12"/>
    </w:rPr>
  </w:style>
  <w:style w:type="paragraph" w:customStyle="1" w:styleId="Citation">
    <w:name w:val="Citation"/>
    <w:basedOn w:val="Normal"/>
    <w:pPr>
      <w:spacing w:after="283"/>
      <w:ind w:left="567" w:right="567"/>
    </w:pPr>
  </w:style>
  <w:style w:type="paragraph" w:customStyle="1" w:styleId="Papertext">
    <w:name w:val="Paper text"/>
    <w:basedOn w:val="Normal"/>
    <w:pPr>
      <w:jc w:val="both"/>
    </w:pPr>
    <w:rPr>
      <w:sz w:val="22"/>
    </w:rPr>
  </w:style>
  <w:style w:type="paragraph" w:customStyle="1" w:styleId="PaperTitle">
    <w:name w:val="Paper Title"/>
    <w:basedOn w:val="Normal"/>
    <w:next w:val="Authors"/>
    <w:pPr>
      <w:jc w:val="center"/>
    </w:pPr>
    <w:rPr>
      <w:b/>
      <w:caps/>
      <w:sz w:val="28"/>
      <w:szCs w:val="28"/>
    </w:rPr>
  </w:style>
  <w:style w:type="paragraph" w:customStyle="1" w:styleId="Authors">
    <w:name w:val="Authors"/>
    <w:basedOn w:val="Normal"/>
    <w:next w:val="Papertext"/>
    <w:pPr>
      <w:jc w:val="center"/>
    </w:pPr>
    <w:rPr>
      <w:sz w:val="22"/>
      <w:lang w:val="hr-HR"/>
    </w:rPr>
  </w:style>
  <w:style w:type="paragraph" w:styleId="Header">
    <w:name w:val="header"/>
    <w:basedOn w:val="Normal"/>
    <w:pPr>
      <w:tabs>
        <w:tab w:val="center" w:pos="4536"/>
        <w:tab w:val="right" w:pos="9072"/>
      </w:tabs>
    </w:pPr>
  </w:style>
  <w:style w:type="paragraph" w:customStyle="1" w:styleId="Textedebulles">
    <w:name w:val="Texte de bulles"/>
    <w:basedOn w:val="Normal"/>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uiPriority w:val="99"/>
    <w:semiHidden/>
    <w:unhideWhenUsed/>
    <w:rsid w:val="00286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a.int/SPECIALS/Cryosat/SEM037ZWD2H_0.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644</Words>
  <Characters>3673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IDS Workshop</vt:lpstr>
    </vt:vector>
  </TitlesOfParts>
  <Company>SIO</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Workshop</dc:title>
  <dc:subject/>
  <dc:creator>Coralie AMATJALAL</dc:creator>
  <cp:keywords/>
  <dc:description/>
  <cp:lastModifiedBy>David Sandwell</cp:lastModifiedBy>
  <cp:revision>7</cp:revision>
  <dcterms:created xsi:type="dcterms:W3CDTF">2012-06-01T20:30:00Z</dcterms:created>
  <dcterms:modified xsi:type="dcterms:W3CDTF">2012-06-02T22:35:00Z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420981381</vt:i4>
  </property>
  <property fmtid="{D5CDD505-2E9C-101B-9397-08002B2CF9AE}" pid="3" name="_AuthorEmail">
    <vt:lpwstr>sophie.coutin-faye@cnes.fr</vt:lpwstr>
  </property>
  <property fmtid="{D5CDD505-2E9C-101B-9397-08002B2CF9AE}" pid="4" name="_AuthorEmailDisplayName">
    <vt:lpwstr>Coutin-Faye Sophie</vt:lpwstr>
  </property>
  <property fmtid="{D5CDD505-2E9C-101B-9397-08002B2CF9AE}" pid="5" name="_EmailSubject">
    <vt:lpwstr>Lisbon call for papers - OSTST</vt:lpwstr>
  </property>
  <property fmtid="{D5CDD505-2E9C-101B-9397-08002B2CF9AE}" pid="6" name="_PreviousAdHocReviewCycleID">
    <vt:i4>-1089679344</vt:i4>
  </property>
</Properties>
</file>